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Östra Göinge kommunfullmäktige</w:t>
      </w:r>
    </w:p>
    <w:p>
      <w:pPr>
        <w:pStyle w:val="Heading1"/>
      </w:pPr>
      <w:r>
        <w:t xml:space="preserve">Trygghetskameror i Broby centrum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Östra Göinge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Broby centrum har högre anmälda brott än kommunens genomsnitt (Brå 2024). Trygghetskameror har visat sig ha brottsförebyggande effekt i liknande kommuner. Invånare efterfrågar ökad trygghet.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Östra Göinge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trygghetskameror på strategiska platser i Broby centrum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upprätta riktlinjer för lagring och hantering av kameramaterial i enlighet med GDPR.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polisen ska ges tillgång till material vid brottsutredningar.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effekten efter 18 månader och redovisa för fullmäktige.</w:t>
      </w:r>
    </w:p>
    <w:p>
      <w:pPr>
        <w:spacing w:before="360"/>
      </w:pPr>
    </w:p>
    <w:p>
      <w:r>
        <w:t xml:space="preserve">Östra Göinge,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Östra Göinge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2026-07-14T05:54:09.578Z</dcterms:created>
  <dcterms:modified xsi:type="dcterms:W3CDTF">2026-07-14T05:54:09.578Z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